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9"/>
        <w:rPr>
          <w:b/>
          <w:sz w:val="30"/>
        </w:rPr>
      </w:pPr>
      <w:r>
        <w:rPr>
          <w:b/>
          <w:sz w:val="30"/>
        </w:rPr>
        <w:t>五月物理每周好题精选（第3周）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一、单选题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图甲、图乙分别是电子束穿过铝箔后的衍射图样和泊松亮斑，下列说法正确的是(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2763520" cy="1271905"/>
            <wp:effectExtent l="0" t="0" r="0" b="4445"/>
            <wp:docPr id="1" name="_x0000_i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308" cy="128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A.图甲是泊松亮斑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B.图乙是干涉现象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C.图甲证明了电子的粒子性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D.图乙证明了光的波动性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2、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如图所示，间距为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的两平行金属板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2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通过理想二极管与电动势为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的电源（内阻不计）相连，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板接地，在两板之间的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点固定一个带电荷量为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27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的点电荷，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板之间的距离为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28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809750" cy="1343025"/>
            <wp:effectExtent l="0" t="0" r="0" b="9525"/>
            <wp:docPr id="5" name="_x0000_i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09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A.图中电容器无法充电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B.点电荷的电势能为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29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C.把两板错开放置，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板的电势不变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D.把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板向下移动，点电荷受到的电场力减小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3、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如图为某种材料制成的半圆形透明砖，三束不同颜色的光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0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垂直于直径方向射入半圆形透明砖，都恰好能在圆弧面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PMN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相应位置发生全反射，则下列说法正确的是(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638300" cy="1371600"/>
            <wp:effectExtent l="0" t="0" r="0" b="0"/>
            <wp:docPr id="2" name="_x0000_i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光的折射率最大、光子能量最大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光的波长最长、光子能量最大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光的折射率最大、光子能量最大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光的折射率最小、光子能量最大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4、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如图所示，圆的半径为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r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为圆的圆心，圆上左、右两侧分别均匀分布着4个电荷量均为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的正、负电荷，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2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为该圆相互垂直的两直径上的四个点，已知静电力常量为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k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457325" cy="1362075"/>
            <wp:effectExtent l="0" t="0" r="9525" b="9525"/>
            <wp:docPr id="8" name="_x0000_i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i106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A.圆心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处的电场强度大小为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3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4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5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两点的电势不相等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6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7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两点的电场强度相同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D.将电子从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8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移动到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39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，电子电势能减小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5、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一个玻璃材料制成的圆柱体，其截面圆的半径为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R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，如图所示，两束平行且相距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0" o:spt="75" type="#_x0000_t75" style="height:18.75pt;width: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的同种单色光与截面直径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平行且关于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对称，两束光从真空射入该圆柱体后分别折射一次后相交于圆周上一点。已知真空中光速为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514475" cy="942975"/>
            <wp:effectExtent l="0" t="0" r="9525" b="9525"/>
            <wp:docPr id="10" name="_x0000_i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10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A.该圆柱体的折射率为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1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B.两束光在圆柱体中传播的时间均为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2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C.射出圆柱体时两束光互相垂直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D.仅增大入射时两束光间的距离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，折射后的光线可能在圆柱体内发生全反射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二、多选题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6、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如图所示，三棱镜横截面为三角形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ABC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3" o:spt="75" type="#_x0000_t75" style="height:14.25pt;width:10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，一束单色光从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边的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成45°角射入三棱镜，折射光线到达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边上的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点，反射后到达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点，且反射光线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正好与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垂直，已知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4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，光在真空中的传播速度为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2552065" cy="1012825"/>
            <wp:effectExtent l="0" t="0" r="635" b="0"/>
            <wp:docPr id="1882837446" name="_x0000_i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37446" name="_x0000_i121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77652" cy="10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A.三棱镜对该单色光的折射率为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B.三棱镜对该单色光的折射率为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C.光线从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再到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的传播时间为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7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D.光线从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再到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的传播时间为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8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7、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两同学分别手持绳子一端上下振动，产生的甲波沿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x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轴正方向传播，乙波沿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x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轴负方向传播，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4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时波形图如图所示。已知波速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3333750" cy="1015365"/>
            <wp:effectExtent l="0" t="0" r="0" b="13335"/>
            <wp:docPr id="11" name="_x0000_i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i111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A.当两波的波峰相遇时，甲波的振幅为30 cm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1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时，两波的波峰与波谷第一次相遇，且相遇处质点的位移为-15 cm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C.两波的波峰与波谷在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2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处第一次相遇，且此后该处质点的振动总是减弱的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3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4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处的质点到达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5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8、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如图所示，空间存在水平垂直于纸面的匀强磁场，在磁场中放着四个用同样的细导线做成的刚性单匝闭合线框，其中线框Ⅰ和线框Ⅱ是边长为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L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的正方形线框，线框Ⅲ是长为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6" o:spt="75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、宽为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7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的矩形线框，线框V是周长为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8" o:spt="75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的圆形线框。四个线框绕各自的轴（如图中的虚线所示）匀速转动，其中线框Ⅰ的转速为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n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，其他线框的转速均为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59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。四个线框产生的最大感应电动势分别为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0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，产生的最大电流分别为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。下列说法正确的是(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3855085" cy="960755"/>
            <wp:effectExtent l="0" t="0" r="0" b="0"/>
            <wp:docPr id="14" name="_x0000_i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i120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893662" cy="9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4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5" o:spt="75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6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9、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如图所示为研究光电效应的电路图，保持滑动变阻器触头位置不变，发现用光束Ⅰ照射K极时微安表示数大于用另一光束Ⅱ照射K极时微安表示数，则(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623695" cy="1568450"/>
            <wp:effectExtent l="0" t="0" r="0" b="0"/>
            <wp:docPr id="16" name="_x0000_i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124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640214" cy="158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A.光束Ⅰ的频率大于光束Ⅱ的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B.移动滑动变阻器触头，微安表示数不可能等于零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C.移动滑动变阻器触头，微安表示数可能会发生变化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D.改变电源正负极性，微安表示数一定等于零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10、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如图所示，两列频率相同、振幅均为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的简谐横波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8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在同一水平面内传播，传播方向的夹角为120°，两列波的振动方向均垂直水平面。某时刻两波的传播情况如图所示，实线表示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69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的波峰，虚线表示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0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的波谷，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1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为同一直水平面线上3个等间距的点，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2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分别为线段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3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上的点。下列判断正确的是(   )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2004060" cy="1320165"/>
            <wp:effectExtent l="0" t="0" r="0" b="0"/>
            <wp:docPr id="12" name="_x0000_i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i1159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04365" cy="13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处质点的振幅为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4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g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处质点的振动始终加强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C.图示时刻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处质点的位移为0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D.图示时刻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处质点的振动方向垂直水平面向下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Times New Roman" w:hAnsi="Times New Roman" w:cs="Times New Roman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三、计算题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11、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如图所示，竖直放置、横截面积为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S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的玻璃管开口向上，内有质量为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m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的一段水银柱，封闭一段长为</w:t>
      </w:r>
      <w:r>
        <w:rPr>
          <w:rFonts w:hint="default" w:ascii="Times New Roman" w:hAnsi="Times New Roman" w:eastAsia="宋体" w:cs="Times New Roman"/>
          <w:sz w:val="24"/>
        </w:rPr>
        <w:pict>
          <v:shape id="_x0000_i1075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的理想气柱。玻璃管口有一报警电路，电路的两根竖直金属针脚置于玻璃管内，针脚最下端与水银柱上表面间的距离为</w:t>
      </w:r>
      <w:r>
        <w:rPr>
          <w:rFonts w:hint="default" w:ascii="Times New Roman" w:hAnsi="Times New Roman" w:eastAsia="宋体" w:cs="Times New Roman"/>
          <w:sz w:val="24"/>
        </w:rPr>
        <w:pict>
          <v:shape id="_x0000_i1076" o:spt="75" type="#_x0000_t75" style="height:18pt;width:13.5pt;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。当针脚接触水银时电路接通，电铃报警。已知大气压强为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941705" cy="1755140"/>
            <wp:effectExtent l="0" t="0" r="0" b="0"/>
            <wp:docPr id="17" name="_x0000_i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i1212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951619" cy="1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（1）求封闭气体初始时的压强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p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（2）若封闭气体初始摄氏温度为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8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，求电铃恰好报警时封闭气体的摄氏温度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79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（3）若从初始状态到电铃恰好报警封闭气体内能增加了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0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，求此过程中封闭气体吸收的热量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Q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12、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现有一可以测定有机化合物分子结构的质谱仪，其结构示意图如图所示。样品室内的有机物气体分子先通过离子化室，离子化成初速度可以忽略不计的正离子，再经过电压为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U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的高压电源区加速后，穿过磁感应强度大小为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、界面半径为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R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的圆形匀强磁场区。从高压电源区离开的离子，其初速度指向磁场区的圆心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且水平，最终打在总长度为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、水平放置的平板记录仪上，通过测量可得出离子比荷，从而推测有机物的分子结构。已知记录仪的中点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2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点正好位于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点正下方，记录仪两端为磁场区半径延长线上的点，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3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长度为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4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。不计离子重力和离子间的相互作用。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2406015" cy="1196340"/>
            <wp:effectExtent l="0" t="0" r="13335" b="3810"/>
            <wp:docPr id="19" name="_x0000_i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261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（1）求高压电源区两极板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中接电源正极的极板和圆形磁场区内匀强磁场的方向；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（2）求打在记录仪上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点的离子的比荷；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720" w:footer="720" w:gutter="0"/>
          <w:cols w:space="720" w:num="1"/>
          <w:vAlign w:val="top"/>
          <w:docGrid w:linePitch="360" w:charSpace="0"/>
        </w:sect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（3）求记录仪上能收集到的离子的比荷范围。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b/>
          <w:sz w:val="30"/>
          <w:szCs w:val="30"/>
        </w:rPr>
      </w:pPr>
      <w:r>
        <w:rPr>
          <w:b/>
          <w:sz w:val="30"/>
          <w:szCs w:val="30"/>
        </w:rPr>
        <w:t>参考答案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D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解析：图甲为电子束穿过铝箔后的衍射图样，图乙为泊松亮斑，属于圆盘衍射现象，AB错误；图甲、图乙分别证明了电子和光的波动性，C错误，D正确。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2、答案：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解析：若电容器充电，电流沿顺时针方向，通过二极管的电流从左向右，与二极管的导通方向相同，所以电容器能充电，A错误；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间电势差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8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8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间电势差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0" o:spt="75" type="#_x0000_t75" style="height:30.75pt;width:155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，点电荷的电势能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1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，结合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2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3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，B正确；由二极管的单向导电性可知，电容器只能充电，不能放电，当两板的正对面积减小时，电容器的带电荷量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Q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不变，由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4" o:spt="75" type="#_x0000_t75" style="height:33.75pt;width:183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5" o:spt="75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，当两板的正对面积减小，其他量不变时，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B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板的电势降低，C错误；由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6" o:spt="75" type="#_x0000_t75" style="height:33.75pt;width:158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可得板间电场强度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7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，则把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板向下移动，两板间的电场强度不变，点电荷受到的电场力不变，D错误。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3、答案：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解析：如图所示，由光路图可以发现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8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三束光发生全反射的临界角</w:t>
      </w:r>
      <w:r>
        <w:rPr>
          <w:rFonts w:hint="default" w:ascii="Times New Roman" w:hAnsi="Times New Roman" w:eastAsia="宋体" w:cs="Times New Roman"/>
          <w:sz w:val="24"/>
        </w:rPr>
        <w:object>
          <v:shape id="_x0000_i1099" o:spt="75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，由全反射临界角关系式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0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1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，由光的色散可以知道完的折射率越大，光的频率就越大，则该光的光子能量越大，即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光的光子能量最大，故选C。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473835" cy="1038225"/>
            <wp:effectExtent l="0" t="0" r="0" b="9525"/>
            <wp:docPr id="21" name="_x0000_i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i1356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489111" cy="104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4、答案：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解析：如图所示，由矢量合成法则可得，左侧的正电荷和右侧的负电荷在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点处产生的电场强度大小均为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2" o:spt="75" type="#_x0000_t75" style="height:30.75pt;width:17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，方向均为水平向右，则合电场强度大小为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3" o:spt="75" type="#_x0000_t75" style="height:30.75pt;width:170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，A错误。若以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4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点所在直线为对称轴，左右两侧的电荷可等效为4对对称分布的等量异种点电荷，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5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为一条等势线，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6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7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的电势相等，B错误。由于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8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09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关于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O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点对称，由矢量合成可知两点的电场强度大小相等，方向相同，C正确。若记无穷远处电势为零，则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0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处电势大于零，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1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处电势为零，将电子从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2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移动到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3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，电场力做负功，电子的电势能增大，D错误。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425575" cy="1322705"/>
            <wp:effectExtent l="0" t="0" r="3175" b="0"/>
            <wp:docPr id="601861513" name="_x0000_i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61513" name="_x0000_i1390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440452" cy="13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5、答案：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解析：画出光路图，如图所示，可知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4" o:spt="75" type="#_x0000_t75" style="height:45pt;width:74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，故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。由几何关系可得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，故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7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2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。该圆柱体的折射率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8" o:spt="75" type="#_x0000_t75" style="height:33pt;width:74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，A错误。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310005" cy="1169035"/>
            <wp:effectExtent l="0" t="0" r="4445" b="0"/>
            <wp:docPr id="22" name="_x0000_i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419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310185" cy="116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光在圆柱体内传播的路程为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19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，由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0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1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2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可得传播时间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2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，B正确。由光的折射定律可得两光束射出时的折射角均为60°，则两束光射出时夹角为120°，C错误。结合光路图可知，折射光线的入射角与入射光线的折射角总是相等的，设为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3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3" DrawAspect="Content" ObjectID="_1468075821" r:id="rId2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4" o:spt="75" type="#_x0000_t75" style="height:30.75pt;width:122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4" DrawAspect="Content" ObjectID="_1468075822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，故无论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取多大，折射光线的入射角均小于临界角，无法发生全反射，D错误。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6、答案：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AD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解析：由题意可知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AC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垂直，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5" DrawAspect="Content" ObjectID="_1468075823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6" o:spt="75" type="#_x0000_t75" style="height:14.25pt;width:162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4" r:id="rId2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7" o:spt="75" type="#_x0000_t75" style="height:14.25pt;width:140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2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8" o:spt="75" type="#_x0000_t75" style="height:14.25pt;width:168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，光线在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点的折射角为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29" o:spt="75" type="#_x0000_t75" style="height:14.25pt;width:108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9" DrawAspect="Content" ObjectID="_1468075827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，入射角为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0" DrawAspect="Content" ObjectID="_1468075828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，则折射率为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1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1" DrawAspect="Content" ObjectID="_1468075829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，A正确，B错误；由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2" o:spt="75" type="#_x0000_t75" style="height:12.75pt;width:123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2" DrawAspect="Content" ObjectID="_1468075830" r:id="rId2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3" o:spt="75" type="#_x0000_t75" style="height:14.25pt;width:108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3" DrawAspect="Content" ObjectID="_1468075831" r:id="rId2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，则有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4" o:spt="75" type="#_x0000_t75" style="height:18.75pt;width:183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4" DrawAspect="Content" ObjectID="_1468075832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5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5" DrawAspect="Content" ObjectID="_1468075833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，光线从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再到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传播的总时间为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6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6" DrawAspect="Content" ObjectID="_1468075834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，综合解得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7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7" DrawAspect="Content" ObjectID="_1468075835" r:id="rId2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，C错误，D正确。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7、答案：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AB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解析：两波相遇时能够保持各自的运动特征，所以甲波的振幅仍为30 cm，A正确。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第一步：求出两列波的波峰与波谷第一次相遇需要的时间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甲波的第一个波谷与乙波的第一个波峰间的距离为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8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8" DrawAspect="Content" ObjectID="_1468075836" r:id="rId2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，两者相遇需要的时间为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39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9" DrawAspect="Content" ObjectID="_1468075837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，左侧波谷传播距离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0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38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，相遇处为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1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39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，相遇时该处质点的位移为-15 cm，B正确。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第二步：根据产生稳定干涉的条件判断是否存在振动始终减弱的点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2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2" DrawAspect="Content" ObjectID="_1468075840" r:id="rId2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可知，两列波的频率不相同，不能产生稳定的干涉，所以此后该处质点的振动并不总是减弱的，C错误。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第三步：判断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3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时质点的位置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object>
          <v:shape id="_x0000_i114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42" r:id="rId2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时，两列波的传播距离均为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5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3" r:id="rId2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，此时两波均已离开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6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4" r:id="rId2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处，所以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45" r:id="rId2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处的质点位移为0，D错误。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8、答案：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AD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解析：依据法拉第电磁感应定律，可以得到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48" o:spt="75" type="#_x0000_t75" style="height:18.75pt;width:210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46" r:id="rId2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object>
          <v:shape id="_x0000_i1149" o:spt="75" type="#_x0000_t75" style="height:18.75pt;width:184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47" r:id="rId2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object>
          <v:shape id="_x0000_i1150" o:spt="75" type="#_x0000_t75" style="height:36.75pt;width:16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0" DrawAspect="Content" ObjectID="_1468075848" r:id="rId2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，转动线圈产生的感应电动势与形状和转轴位置无关，所以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1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2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，故A正确，B错误；再由电阻定律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2" o:spt="75" type="#_x0000_t75" style="height:30.75pt;width:43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2" DrawAspect="Content" ObjectID="_1468075850" r:id="rId2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（其中，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S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为导线的横截面积、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l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为导线的长度、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ρ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为导线的电阻率）可知，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3" o:spt="75" type="#_x0000_t75" style="height:48pt;width:13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2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object>
          <v:shape id="_x0000_i1154" o:spt="75" type="#_x0000_t75" style="height:48pt;width:115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2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object>
          <v:shape id="_x0000_i1155" o:spt="75" type="#_x0000_t75" style="height:48pt;width:132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2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object>
          <v:shape id="_x0000_i1156" o:spt="75" type="#_x0000_t75" style="height:50.25pt;width:108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6" DrawAspect="Content" ObjectID="_1468075854" r:id="rId2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，所以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2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，故C错误，D正确。故选A、D。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9、答案：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BC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电流表示数大可能是因为光束的光照强度大，不一定是因为光束的频率大，A错误。由于加的是正向电压，电压让电子加速，移动滑动变阻器触头，微安表示数不可能等于零，B正确。移动滑动变阻器触头，改变A、K两极间的电压，在电流达到饱和电流前微安表示数会发生变化，C正确。改变电源正负极性，若电压小于遏止电压，微安表示数不等于零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10、答案：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BC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处波峰和波谷相遇，为振动减弱点，振幅为0，A错误。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g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处波峰和波峰相遇，为振动加强点，B正确。由图可知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点到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P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的波峰和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Q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的波谷的距离相同，所以图示时刻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d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处质点的位移为零，C正确。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e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处为振动减弱点，该处质点振幅始终为零，D错误。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11、答案：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8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8" DrawAspect="Content" ObjectID="_1468075856" r:id="rId2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59" o:spt="75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9" DrawAspect="Content" ObjectID="_1468075857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0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0" DrawAspect="Content" ObjectID="_1468075858" r:id="rId2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解析：（1）水银柱受力平衡，可得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1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1" DrawAspect="Content" ObjectID="_1468075859" r:id="rId2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2" o:spt="75" type="#_x0000_t75" style="height:31.5pt;width:63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2" DrawAspect="Content" ObjectID="_1468075860" r:id="rId2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（2）理想气体发生等压变化，根据盖-吕萨克定律有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3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3" DrawAspect="Content" ObjectID="_1468075861" r:id="rId2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4" o:spt="75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4" DrawAspect="Content" ObjectID="_1468075862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（3）气体对外做功，外界对气体做的功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5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5" DrawAspect="Content" ObjectID="_1468075863" r:id="rId2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由热力学第一定律得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6" o:spt="75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6" DrawAspect="Content" ObjectID="_1468075864" r:id="rId3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解得气体吸收的热量为</w:t>
      </w:r>
      <w:r>
        <w:rPr>
          <w:rFonts w:hint="default" w:ascii="Times New Roman" w:hAnsi="Times New Roman" w:eastAsia="宋体" w:cs="Times New Roman"/>
          <w:sz w:val="24"/>
        </w:rPr>
        <w:pict>
          <v:shape id="_x0000_i1167" o:spt="75" type="#_x0000_t75" style="height:18pt;width:116.25pt;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Cs w:val="22"/>
          <w:shd w:val="clear" w:color="auto" w:fill="FFFFFF"/>
          <w:lang w:eastAsia="zh-CN"/>
        </w:rPr>
        <w:t>12、答案：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（1）见解析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8" DrawAspect="Content" ObjectID="_1468075865" r:id="rId3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69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9" DrawAspect="Content" ObjectID="_1468075866" r:id="rId3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解析：（1）极板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接电源正极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由左手定则可知磁场方向垂直纸面向外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（2）由图1，可知打在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0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0" DrawAspect="Content" ObjectID="_1468075867" r:id="rId3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点的离子转过的圆心角刚好为90°，则轨迹半径为</w:t>
      </w:r>
      <w:r>
        <w:rPr>
          <w:rFonts w:hint="default" w:ascii="Times New Roman" w:hAnsi="Times New Roman" w:eastAsia="宋体" w:cs="Times New Roman"/>
          <w:i/>
          <w:kern w:val="2"/>
          <w:szCs w:val="22"/>
          <w:shd w:val="clear" w:color="auto" w:fill="FFFFFF"/>
          <w:lang w:eastAsia="zh-CN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由动能定理得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1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1" DrawAspect="Content" ObjectID="_1468075868" r:id="rId3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由洛伦兹力提供向心力有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2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2" DrawAspect="Content" ObjectID="_1468075869" r:id="rId3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859790" cy="1013460"/>
            <wp:effectExtent l="0" t="0" r="0" b="0"/>
            <wp:docPr id="24" name="_x0000_i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i1679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868407" cy="10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联立解得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3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3" DrawAspect="Content" ObjectID="_1468075870" r:id="rId3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（3）由图2、3结合几何关系，可知能打在记录仪上的离子的最大偏转角为120°，最小偏转角为60°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</w:rPr>
        <w:drawing>
          <wp:inline distT="0" distB="0" distL="0" distR="0">
            <wp:extent cx="1943735" cy="968375"/>
            <wp:effectExtent l="0" t="0" r="0" b="3175"/>
            <wp:docPr id="25" name="_x0000_i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682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963223" cy="9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偏转角为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4" o:spt="75" type="#_x0000_t75" style="height:18.75pt;width:4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4" DrawAspect="Content" ObjectID="_1468075871" r:id="rId3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时，轨迹半径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5" o:spt="75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5" DrawAspect="Content" ObjectID="_1468075872" r:id="rId3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6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6" DrawAspect="Content" ObjectID="_1468075873" r:id="rId3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偏转角为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7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7" DrawAspect="Content" ObjectID="_1468075874" r:id="rId3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时，轨迹半径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8" DrawAspect="Content" ObjectID="_1468075875" r:id="rId3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可得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79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79" DrawAspect="Content" ObjectID="_1468075876" r:id="rId3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9"/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Cs w:val="22"/>
          <w:shd w:val="clear" w:color="auto" w:fill="FFFFFF"/>
          <w:lang w:eastAsia="zh-CN"/>
        </w:rPr>
        <w:t>则记录仪上能收集到的离子的比荷范围为</w:t>
      </w:r>
      <w:r>
        <w:rPr>
          <w:rFonts w:hint="default" w:ascii="Times New Roman" w:hAnsi="Times New Roman" w:eastAsia="宋体" w:cs="Times New Roman"/>
          <w:sz w:val="24"/>
        </w:rPr>
        <w:object>
          <v:shape id="_x0000_i1180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0" DrawAspect="Content" ObjectID="_1468075877" r:id="rId32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9"/>
        <w:rPr>
          <w:b/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215" cy="7465060"/>
            <wp:effectExtent l="0" t="0" r="635" b="2540"/>
            <wp:docPr id="1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46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</w:rPr>
      <w:t>版权所有</w:t>
    </w:r>
    <w:r>
      <w:rPr>
        <w:rFonts w:ascii="Times New Roman" w:hAnsi="Times New Roman"/>
      </w:rPr>
      <w:t>©</w:t>
    </w:r>
    <w:r>
      <w:rPr>
        <w:rFonts w:hint="eastAsia" w:ascii="宋体" w:hAnsi="宋体"/>
      </w:rPr>
      <w:t>正确教育 侵权必</w:t>
    </w:r>
    <w:r>
      <w:rPr>
        <w:rFonts w:hint="eastAsia" w:ascii="宋体" w:hAnsi="宋体" w:eastAsia="宋体"/>
        <w:lang w:val="en-US" w:eastAsia="zh-CN"/>
      </w:rPr>
      <w:t>究</w:t>
    </w:r>
    <w:r>
      <w:rPr>
        <w:rFonts w:hint="eastAsia" w:ascii="宋体" w:hAnsi="宋体"/>
      </w:rPr>
      <w:t>！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5267325" cy="342900"/>
          <wp:effectExtent l="0" t="0" r="0" b="0"/>
          <wp:docPr id="3" name="图片 3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7A8B"/>
    <w:rsid w:val="003B1962"/>
    <w:rsid w:val="003E6FEC"/>
    <w:rsid w:val="009A73E6"/>
    <w:rsid w:val="00A77B3E"/>
    <w:rsid w:val="00BE53A4"/>
    <w:rsid w:val="00CA0B93"/>
    <w:rsid w:val="00CA2A55"/>
    <w:rsid w:val="00D26CEF"/>
    <w:rsid w:val="2B3B6A49"/>
    <w:rsid w:val="352B10D5"/>
    <w:rsid w:val="41A56D36"/>
    <w:rsid w:val="555D46B9"/>
    <w:rsid w:val="5971326C"/>
    <w:rsid w:val="7463610B"/>
    <w:rsid w:val="79EA7BEA"/>
    <w:rsid w:val="7F9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8.png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png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7.png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png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3" Type="http://schemas.openxmlformats.org/officeDocument/2006/relationships/fontTable" Target="fontTable.xml"/><Relationship Id="rId332" Type="http://schemas.openxmlformats.org/officeDocument/2006/relationships/customXml" Target="../customXml/item1.xml"/><Relationship Id="rId331" Type="http://schemas.openxmlformats.org/officeDocument/2006/relationships/image" Target="media/image174.jpeg"/><Relationship Id="rId330" Type="http://schemas.openxmlformats.org/officeDocument/2006/relationships/image" Target="media/image173.wmf"/><Relationship Id="rId33" Type="http://schemas.openxmlformats.org/officeDocument/2006/relationships/image" Target="media/image17.wmf"/><Relationship Id="rId329" Type="http://schemas.openxmlformats.org/officeDocument/2006/relationships/oleObject" Target="embeddings/oleObject153.bin"/><Relationship Id="rId328" Type="http://schemas.openxmlformats.org/officeDocument/2006/relationships/image" Target="media/image172.wmf"/><Relationship Id="rId327" Type="http://schemas.openxmlformats.org/officeDocument/2006/relationships/oleObject" Target="embeddings/oleObject152.bin"/><Relationship Id="rId326" Type="http://schemas.openxmlformats.org/officeDocument/2006/relationships/image" Target="media/image171.wmf"/><Relationship Id="rId325" Type="http://schemas.openxmlformats.org/officeDocument/2006/relationships/oleObject" Target="embeddings/oleObject151.bin"/><Relationship Id="rId324" Type="http://schemas.openxmlformats.org/officeDocument/2006/relationships/image" Target="media/image170.wmf"/><Relationship Id="rId323" Type="http://schemas.openxmlformats.org/officeDocument/2006/relationships/oleObject" Target="embeddings/oleObject150.bin"/><Relationship Id="rId322" Type="http://schemas.openxmlformats.org/officeDocument/2006/relationships/image" Target="media/image169.wmf"/><Relationship Id="rId321" Type="http://schemas.openxmlformats.org/officeDocument/2006/relationships/oleObject" Target="embeddings/oleObject149.bin"/><Relationship Id="rId320" Type="http://schemas.openxmlformats.org/officeDocument/2006/relationships/image" Target="media/image168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48.bin"/><Relationship Id="rId318" Type="http://schemas.openxmlformats.org/officeDocument/2006/relationships/image" Target="media/image167.wmf"/><Relationship Id="rId317" Type="http://schemas.openxmlformats.org/officeDocument/2006/relationships/oleObject" Target="embeddings/oleObject147.bin"/><Relationship Id="rId316" Type="http://schemas.openxmlformats.org/officeDocument/2006/relationships/image" Target="media/image166.png"/><Relationship Id="rId315" Type="http://schemas.openxmlformats.org/officeDocument/2006/relationships/image" Target="media/image165.wmf"/><Relationship Id="rId314" Type="http://schemas.openxmlformats.org/officeDocument/2006/relationships/oleObject" Target="embeddings/oleObject146.bin"/><Relationship Id="rId313" Type="http://schemas.openxmlformats.org/officeDocument/2006/relationships/image" Target="media/image164.png"/><Relationship Id="rId312" Type="http://schemas.openxmlformats.org/officeDocument/2006/relationships/image" Target="media/image163.wmf"/><Relationship Id="rId311" Type="http://schemas.openxmlformats.org/officeDocument/2006/relationships/oleObject" Target="embeddings/oleObject145.bin"/><Relationship Id="rId310" Type="http://schemas.openxmlformats.org/officeDocument/2006/relationships/image" Target="media/image162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44.bin"/><Relationship Id="rId308" Type="http://schemas.openxmlformats.org/officeDocument/2006/relationships/image" Target="media/image161.wmf"/><Relationship Id="rId307" Type="http://schemas.openxmlformats.org/officeDocument/2006/relationships/oleObject" Target="embeddings/oleObject143.bin"/><Relationship Id="rId306" Type="http://schemas.openxmlformats.org/officeDocument/2006/relationships/image" Target="media/image160.wmf"/><Relationship Id="rId305" Type="http://schemas.openxmlformats.org/officeDocument/2006/relationships/oleObject" Target="embeddings/oleObject142.bin"/><Relationship Id="rId304" Type="http://schemas.openxmlformats.org/officeDocument/2006/relationships/image" Target="media/image159.wmf"/><Relationship Id="rId303" Type="http://schemas.openxmlformats.org/officeDocument/2006/relationships/oleObject" Target="embeddings/oleObject141.bin"/><Relationship Id="rId302" Type="http://schemas.openxmlformats.org/officeDocument/2006/relationships/image" Target="media/image158.wmf"/><Relationship Id="rId301" Type="http://schemas.openxmlformats.org/officeDocument/2006/relationships/image" Target="media/image157.wmf"/><Relationship Id="rId300" Type="http://schemas.openxmlformats.org/officeDocument/2006/relationships/oleObject" Target="embeddings/oleObject140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9.bin"/><Relationship Id="rId297" Type="http://schemas.openxmlformats.org/officeDocument/2006/relationships/image" Target="media/image155.wmf"/><Relationship Id="rId296" Type="http://schemas.openxmlformats.org/officeDocument/2006/relationships/oleObject" Target="embeddings/oleObject138.bin"/><Relationship Id="rId295" Type="http://schemas.openxmlformats.org/officeDocument/2006/relationships/image" Target="media/image154.wmf"/><Relationship Id="rId294" Type="http://schemas.openxmlformats.org/officeDocument/2006/relationships/oleObject" Target="embeddings/oleObject137.bin"/><Relationship Id="rId293" Type="http://schemas.openxmlformats.org/officeDocument/2006/relationships/image" Target="media/image153.wmf"/><Relationship Id="rId292" Type="http://schemas.openxmlformats.org/officeDocument/2006/relationships/oleObject" Target="embeddings/oleObject136.bin"/><Relationship Id="rId291" Type="http://schemas.openxmlformats.org/officeDocument/2006/relationships/image" Target="media/image152.wmf"/><Relationship Id="rId290" Type="http://schemas.openxmlformats.org/officeDocument/2006/relationships/oleObject" Target="embeddings/oleObject135.bin"/><Relationship Id="rId29" Type="http://schemas.openxmlformats.org/officeDocument/2006/relationships/image" Target="media/image15.wmf"/><Relationship Id="rId289" Type="http://schemas.openxmlformats.org/officeDocument/2006/relationships/image" Target="media/image151.wmf"/><Relationship Id="rId288" Type="http://schemas.openxmlformats.org/officeDocument/2006/relationships/oleObject" Target="embeddings/oleObject134.bin"/><Relationship Id="rId287" Type="http://schemas.openxmlformats.org/officeDocument/2006/relationships/image" Target="media/image150.wmf"/><Relationship Id="rId286" Type="http://schemas.openxmlformats.org/officeDocument/2006/relationships/oleObject" Target="embeddings/oleObject133.bin"/><Relationship Id="rId285" Type="http://schemas.openxmlformats.org/officeDocument/2006/relationships/image" Target="media/image149.wmf"/><Relationship Id="rId284" Type="http://schemas.openxmlformats.org/officeDocument/2006/relationships/oleObject" Target="embeddings/oleObject132.bin"/><Relationship Id="rId283" Type="http://schemas.openxmlformats.org/officeDocument/2006/relationships/image" Target="media/image148.wmf"/><Relationship Id="rId282" Type="http://schemas.openxmlformats.org/officeDocument/2006/relationships/oleObject" Target="embeddings/oleObject131.bin"/><Relationship Id="rId281" Type="http://schemas.openxmlformats.org/officeDocument/2006/relationships/image" Target="media/image147.wmf"/><Relationship Id="rId280" Type="http://schemas.openxmlformats.org/officeDocument/2006/relationships/oleObject" Target="embeddings/oleObject130.bin"/><Relationship Id="rId28" Type="http://schemas.openxmlformats.org/officeDocument/2006/relationships/oleObject" Target="embeddings/oleObject10.bin"/><Relationship Id="rId279" Type="http://schemas.openxmlformats.org/officeDocument/2006/relationships/image" Target="media/image146.wmf"/><Relationship Id="rId278" Type="http://schemas.openxmlformats.org/officeDocument/2006/relationships/oleObject" Target="embeddings/oleObject129.bin"/><Relationship Id="rId277" Type="http://schemas.openxmlformats.org/officeDocument/2006/relationships/image" Target="media/image145.wmf"/><Relationship Id="rId276" Type="http://schemas.openxmlformats.org/officeDocument/2006/relationships/oleObject" Target="embeddings/oleObject128.bin"/><Relationship Id="rId275" Type="http://schemas.openxmlformats.org/officeDocument/2006/relationships/image" Target="media/image144.wmf"/><Relationship Id="rId274" Type="http://schemas.openxmlformats.org/officeDocument/2006/relationships/oleObject" Target="embeddings/oleObject127.bin"/><Relationship Id="rId273" Type="http://schemas.openxmlformats.org/officeDocument/2006/relationships/image" Target="media/image143.wmf"/><Relationship Id="rId272" Type="http://schemas.openxmlformats.org/officeDocument/2006/relationships/oleObject" Target="embeddings/oleObject126.bin"/><Relationship Id="rId271" Type="http://schemas.openxmlformats.org/officeDocument/2006/relationships/image" Target="media/image142.wmf"/><Relationship Id="rId270" Type="http://schemas.openxmlformats.org/officeDocument/2006/relationships/oleObject" Target="embeddings/oleObject125.bin"/><Relationship Id="rId27" Type="http://schemas.openxmlformats.org/officeDocument/2006/relationships/image" Target="media/image14.wmf"/><Relationship Id="rId269" Type="http://schemas.openxmlformats.org/officeDocument/2006/relationships/image" Target="media/image141.wmf"/><Relationship Id="rId268" Type="http://schemas.openxmlformats.org/officeDocument/2006/relationships/oleObject" Target="embeddings/oleObject124.bin"/><Relationship Id="rId267" Type="http://schemas.openxmlformats.org/officeDocument/2006/relationships/image" Target="media/image140.wmf"/><Relationship Id="rId266" Type="http://schemas.openxmlformats.org/officeDocument/2006/relationships/oleObject" Target="embeddings/oleObject123.bin"/><Relationship Id="rId265" Type="http://schemas.openxmlformats.org/officeDocument/2006/relationships/image" Target="media/image139.wmf"/><Relationship Id="rId264" Type="http://schemas.openxmlformats.org/officeDocument/2006/relationships/oleObject" Target="embeddings/oleObject122.bin"/><Relationship Id="rId263" Type="http://schemas.openxmlformats.org/officeDocument/2006/relationships/image" Target="media/image138.wmf"/><Relationship Id="rId262" Type="http://schemas.openxmlformats.org/officeDocument/2006/relationships/oleObject" Target="embeddings/oleObject121.bin"/><Relationship Id="rId261" Type="http://schemas.openxmlformats.org/officeDocument/2006/relationships/image" Target="media/image137.wmf"/><Relationship Id="rId260" Type="http://schemas.openxmlformats.org/officeDocument/2006/relationships/oleObject" Target="embeddings/oleObject120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36.wmf"/><Relationship Id="rId258" Type="http://schemas.openxmlformats.org/officeDocument/2006/relationships/oleObject" Target="embeddings/oleObject119.bin"/><Relationship Id="rId257" Type="http://schemas.openxmlformats.org/officeDocument/2006/relationships/image" Target="media/image135.wmf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4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33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2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3.png"/><Relationship Id="rId249" Type="http://schemas.openxmlformats.org/officeDocument/2006/relationships/image" Target="media/image131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30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29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8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7.wmf"/><Relationship Id="rId240" Type="http://schemas.openxmlformats.org/officeDocument/2006/relationships/oleObject" Target="embeddings/oleObject110.bin"/><Relationship Id="rId24" Type="http://schemas.openxmlformats.org/officeDocument/2006/relationships/image" Target="media/image12.wmf"/><Relationship Id="rId239" Type="http://schemas.openxmlformats.org/officeDocument/2006/relationships/image" Target="media/image126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5.wmf"/><Relationship Id="rId236" Type="http://schemas.openxmlformats.org/officeDocument/2006/relationships/oleObject" Target="embeddings/oleObject108.bin"/><Relationship Id="rId235" Type="http://schemas.openxmlformats.org/officeDocument/2006/relationships/image" Target="media/image124.wmf"/><Relationship Id="rId234" Type="http://schemas.openxmlformats.org/officeDocument/2006/relationships/oleObject" Target="embeddings/oleObject107.bin"/><Relationship Id="rId233" Type="http://schemas.openxmlformats.org/officeDocument/2006/relationships/image" Target="media/image123.wmf"/><Relationship Id="rId232" Type="http://schemas.openxmlformats.org/officeDocument/2006/relationships/oleObject" Target="embeddings/oleObject106.bin"/><Relationship Id="rId231" Type="http://schemas.openxmlformats.org/officeDocument/2006/relationships/image" Target="media/image122.wmf"/><Relationship Id="rId230" Type="http://schemas.openxmlformats.org/officeDocument/2006/relationships/oleObject" Target="embeddings/oleObject105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21.wmf"/><Relationship Id="rId228" Type="http://schemas.openxmlformats.org/officeDocument/2006/relationships/oleObject" Target="embeddings/oleObject104.bin"/><Relationship Id="rId227" Type="http://schemas.openxmlformats.org/officeDocument/2006/relationships/image" Target="media/image120.wmf"/><Relationship Id="rId226" Type="http://schemas.openxmlformats.org/officeDocument/2006/relationships/oleObject" Target="embeddings/oleObject103.bin"/><Relationship Id="rId225" Type="http://schemas.openxmlformats.org/officeDocument/2006/relationships/image" Target="media/image119.wmf"/><Relationship Id="rId224" Type="http://schemas.openxmlformats.org/officeDocument/2006/relationships/oleObject" Target="embeddings/oleObject102.bin"/><Relationship Id="rId223" Type="http://schemas.openxmlformats.org/officeDocument/2006/relationships/image" Target="media/image118.wmf"/><Relationship Id="rId222" Type="http://schemas.openxmlformats.org/officeDocument/2006/relationships/oleObject" Target="embeddings/oleObject101.bin"/><Relationship Id="rId221" Type="http://schemas.openxmlformats.org/officeDocument/2006/relationships/image" Target="media/image117.wmf"/><Relationship Id="rId220" Type="http://schemas.openxmlformats.org/officeDocument/2006/relationships/oleObject" Target="embeddings/oleObject100.bin"/><Relationship Id="rId22" Type="http://schemas.openxmlformats.org/officeDocument/2006/relationships/image" Target="media/image11.wmf"/><Relationship Id="rId219" Type="http://schemas.openxmlformats.org/officeDocument/2006/relationships/image" Target="media/image116.wmf"/><Relationship Id="rId218" Type="http://schemas.openxmlformats.org/officeDocument/2006/relationships/oleObject" Target="embeddings/oleObject99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8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7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6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5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11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09.png"/><Relationship Id="rId204" Type="http://schemas.openxmlformats.org/officeDocument/2006/relationships/image" Target="media/image108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6.wmf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3.png"/><Relationship Id="rId193" Type="http://schemas.openxmlformats.org/officeDocument/2006/relationships/image" Target="media/image102.wmf"/><Relationship Id="rId192" Type="http://schemas.openxmlformats.org/officeDocument/2006/relationships/oleObject" Target="embeddings/oleObject87.bin"/><Relationship Id="rId191" Type="http://schemas.openxmlformats.org/officeDocument/2006/relationships/image" Target="media/image101.wmf"/><Relationship Id="rId190" Type="http://schemas.openxmlformats.org/officeDocument/2006/relationships/oleObject" Target="embeddings/oleObject86.bin"/><Relationship Id="rId19" Type="http://schemas.openxmlformats.org/officeDocument/2006/relationships/image" Target="media/image9.wmf"/><Relationship Id="rId189" Type="http://schemas.openxmlformats.org/officeDocument/2006/relationships/image" Target="media/image100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1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5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8.wmf"/><Relationship Id="rId169" Type="http://schemas.openxmlformats.org/officeDocument/2006/relationships/image" Target="media/image90.png"/><Relationship Id="rId168" Type="http://schemas.openxmlformats.org/officeDocument/2006/relationships/image" Target="media/image89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8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7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5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1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3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80.wmf"/><Relationship Id="rId15" Type="http://schemas.openxmlformats.org/officeDocument/2006/relationships/image" Target="media/image7.png"/><Relationship Id="rId149" Type="http://schemas.openxmlformats.org/officeDocument/2006/relationships/oleObject" Target="embeddings/oleObject66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5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2.png"/><Relationship Id="rId133" Type="http://schemas.openxmlformats.org/officeDocument/2006/relationships/image" Target="media/image71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7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5.wmf"/><Relationship Id="rId119" Type="http://schemas.openxmlformats.org/officeDocument/2006/relationships/image" Target="media/image64.png"/><Relationship Id="rId118" Type="http://schemas.openxmlformats.org/officeDocument/2006/relationships/image" Target="media/image63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2.wmf"/><Relationship Id="rId115" Type="http://schemas.openxmlformats.org/officeDocument/2006/relationships/image" Target="media/image61.wmf"/><Relationship Id="rId114" Type="http://schemas.openxmlformats.org/officeDocument/2006/relationships/image" Target="media/image60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9.png"/><Relationship Id="rId111" Type="http://schemas.openxmlformats.org/officeDocument/2006/relationships/image" Target="media/image58.wmf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7.bin"/><Relationship Id="rId105" Type="http://schemas.openxmlformats.org/officeDocument/2006/relationships/oleObject" Target="embeddings/oleObject46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3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3926</Words>
  <Characters>4017</Characters>
  <Lines>1</Lines>
  <Paragraphs>1</Paragraphs>
  <TotalTime>0</TotalTime>
  <ScaleCrop>false</ScaleCrop>
  <LinksUpToDate>false</LinksUpToDate>
  <CharactersWithSpaces>4107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2023-05-15T02:10:00Z</dcterms:created>
  <dc:creator>Administrator</dc:creator>
  <cp:lastModifiedBy>Administrator</cp:lastModifiedBy>
  <dcterms:modified xsi:type="dcterms:W3CDTF">2023-05-17T01:44:28Z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